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80"/>
        <w:jc w:val="left"/>
      </w:pPr>
      <w:r>
        <w:drawing>
          <wp:inline xmlns:a="http://schemas.openxmlformats.org/drawingml/2006/main" xmlns:pic="http://schemas.openxmlformats.org/drawingml/2006/picture">
            <wp:extent cx="402336" cy="402336"/>
            <wp:docPr id="1" name="Picture 1" descr="Dryfta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yfta-logo-squa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2336" cy="402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Conference Generative AI Policy Template</w:t>
      </w:r>
    </w:p>
    <w:p>
      <w:pPr>
        <w:spacing w:after="400"/>
      </w:pPr>
      <w:r>
        <w:rPr>
          <w:rFonts w:ascii="Arial" w:hAnsi="Arial"/>
          <w:b/>
          <w:color w:val="17365D"/>
          <w:sz w:val="30"/>
        </w:rPr>
        <w:t>Practical rules for submissions and peer review</w:t>
      </w:r>
    </w:p>
    <w:p>
      <w:pPr>
        <w:spacing w:after="280"/>
      </w:pPr>
      <w:r>
        <w:t>Use this pack to decide what authors and reviewers may do with generative AI, add the right questions to your Dryfta forms, and publish one clear policy before submissions open.</w:t>
      </w:r>
    </w:p>
    <w:p>
      <w:pPr>
        <w:spacing w:after="360"/>
      </w:pPr>
      <w:r>
        <w:rPr>
          <w:rFonts w:ascii="Arial" w:hAnsi="Arial"/>
          <w:b/>
          <w:color w:val="000000"/>
          <w:sz w:val="22"/>
        </w:rPr>
        <w:t>Prepared for:</w:t>
      </w:r>
      <w:r>
        <w:rPr>
          <w:rFonts w:ascii="Arial" w:hAnsi="Arial"/>
          <w:color w:val="000000"/>
          <w:sz w:val="22"/>
        </w:rPr>
        <w:t xml:space="preserve"> [Conference or organization]</w:t>
        <w:br/>
      </w:r>
      <w:r>
        <w:rPr>
          <w:rFonts w:ascii="Arial" w:hAnsi="Arial"/>
          <w:b/>
          <w:color w:val="000000"/>
          <w:sz w:val="22"/>
        </w:rPr>
        <w:t>Policy owner:</w:t>
      </w:r>
      <w:r>
        <w:rPr>
          <w:rFonts w:ascii="Arial" w:hAnsi="Arial"/>
          <w:color w:val="000000"/>
          <w:sz w:val="22"/>
        </w:rPr>
        <w:t xml:space="preserve"> [Role or committee]</w:t>
        <w:br/>
      </w:r>
      <w:r>
        <w:rPr>
          <w:rFonts w:ascii="Arial" w:hAnsi="Arial"/>
          <w:b/>
          <w:color w:val="000000"/>
          <w:sz w:val="22"/>
        </w:rPr>
        <w:t>Working version:</w:t>
      </w:r>
      <w:r>
        <w:rPr>
          <w:rFonts w:ascii="Arial" w:hAnsi="Arial"/>
          <w:color w:val="000000"/>
          <w:sz w:val="22"/>
        </w:rPr>
        <w:t xml:space="preserve"> [Number]</w:t>
        <w:br/>
      </w:r>
      <w:r>
        <w:rPr>
          <w:rFonts w:ascii="Arial" w:hAnsi="Arial"/>
          <w:b/>
          <w:color w:val="000000"/>
          <w:sz w:val="22"/>
        </w:rPr>
        <w:t>Review date:</w:t>
      </w:r>
      <w:r>
        <w:rPr>
          <w:rFonts w:ascii="Arial" w:hAnsi="Arial"/>
          <w:color w:val="000000"/>
          <w:sz w:val="22"/>
        </w:rPr>
        <w:t xml:space="preserve"> [Date]</w:t>
      </w:r>
    </w:p>
    <w:p>
      <w:r>
        <w:rPr>
          <w:rFonts w:ascii="Arial" w:hAnsi="Arial"/>
          <w:i/>
          <w:color w:val="666666"/>
          <w:sz w:val="21"/>
        </w:rPr>
        <w:t>This template is a practical starting point, not legal advice. Check any rules set by your proceedings publisher, sponsor or institution before you publish it.</w:t>
      </w: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spacing w:after="40"/>
        <w:ind w:left="490" w:hanging="490"/>
      </w:pPr>
      <w:r>
        <w:rPr>
          <w:rFonts w:ascii="Arial" w:hAnsi="Arial"/>
          <w:b/>
          <w:color w:val="000000"/>
          <w:sz w:val="21"/>
        </w:rPr>
        <w:t>1.</w:t>
        <w:tab/>
      </w:r>
      <w:r>
        <w:t>Choose one rule for each activity in the table below.</w:t>
      </w:r>
    </w:p>
    <w:p>
      <w:pPr>
        <w:spacing w:after="40"/>
        <w:ind w:left="490" w:hanging="490"/>
      </w:pPr>
      <w:r>
        <w:rPr>
          <w:rFonts w:ascii="Arial" w:hAnsi="Arial"/>
          <w:b/>
          <w:color w:val="000000"/>
          <w:sz w:val="21"/>
        </w:rPr>
        <w:t>2.</w:t>
        <w:tab/>
      </w:r>
      <w:r>
        <w:t>Replace the bracketed fields in the policy wording and delete alternatives you do not need.</w:t>
      </w:r>
    </w:p>
    <w:p>
      <w:pPr>
        <w:spacing w:after="40"/>
        <w:ind w:left="490" w:hanging="490"/>
      </w:pPr>
      <w:r>
        <w:rPr>
          <w:rFonts w:ascii="Arial" w:hAnsi="Arial"/>
          <w:b/>
          <w:color w:val="000000"/>
          <w:sz w:val="21"/>
        </w:rPr>
        <w:t>3.</w:t>
        <w:tab/>
      </w:r>
      <w:r>
        <w:t>Add the author and reviewer questions to the relevant Dryfta forms.</w:t>
      </w:r>
    </w:p>
    <w:p>
      <w:pPr>
        <w:spacing w:after="40"/>
        <w:ind w:left="490" w:hanging="490"/>
      </w:pPr>
      <w:r>
        <w:rPr>
          <w:rFonts w:ascii="Arial" w:hAnsi="Arial"/>
          <w:b/>
          <w:color w:val="000000"/>
          <w:sz w:val="21"/>
        </w:rPr>
        <w:t>4.</w:t>
        <w:tab/>
      </w:r>
      <w:r>
        <w:t>Publish the same policy wherever authors and reviewers receive instructions.</w:t>
      </w:r>
    </w:p>
    <w:p>
      <w:pPr>
        <w:pStyle w:val="Heading2"/>
      </w:pPr>
      <w:r>
        <w:t>The decisions your committee must make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232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Activity</w:t>
            </w:r>
          </w:p>
        </w:tc>
        <w:tc>
          <w:tcPr>
            <w:tcW w:type="dxa" w:w="4464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Recommended starting rule</w:t>
            </w:r>
          </w:p>
        </w:tc>
        <w:tc>
          <w:tcPr>
            <w:tcW w:type="dxa" w:w="3384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Your choice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Spelling and grammar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Allow when the tool only corrects the author's own wording and does not change the meaning.</w:t>
            </w:r>
          </w:p>
        </w:tc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 ] Allow without disclosure  [ ] Require disclosure  [ ] Do not allow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Translation or substantial rewriting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Allow only when the author discloses the use and checks the final text.</w:t>
            </w:r>
          </w:p>
        </w:tc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 ] Allow with disclosure  [ ] Approval required  [ ] Do not allow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Generated text, code, analysis or images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Require disclosure and human verification. Apply any stricter publisher or discipline rule.</w:t>
            </w:r>
          </w:p>
        </w:tc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 ] Allow with disclosure  [ ] Approval required  [ ] Do not allow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Reviewer use of outside AI tools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Do not allow reviewers to place submissions, reviews or scores in a public or unapproved AI tool.</w:t>
            </w:r>
          </w:p>
        </w:tc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 ] Do not allow  [ ] Allow only a named approved tool for a named task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Dryfta Virtual Reviewers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Treat the review as advice. Use the conference review form and keep the final decision with people.</w:t>
            </w:r>
          </w:p>
        </w:tc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 ] Not used  [ ] Used with a notice to participants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Copy ready conference policy</w:t>
      </w:r>
    </w:p>
    <w:p>
      <w:r>
        <w:t>Replace the bracketed text, keep the choices your committee approved, and delete the drafting notes before publication.</w:t>
      </w:r>
    </w:p>
    <w:p>
      <w:pPr>
        <w:pStyle w:val="Heading2"/>
      </w:pPr>
      <w:r>
        <w:t>Purpose and scope</w:t>
      </w:r>
    </w:p>
    <w:p>
      <w:pPr>
        <w:pStyle w:val="PolicyClause"/>
      </w:pPr>
      <w:r>
        <w:t>[Conference name] permits the responsible use of generative AI only under the rules below. The policy applies to [abstracts, papers, posters, panels, supporting files and reviews] submitted for [event name and year]. Human authors, reviewers and committee members remain responsible for their work and decisions.</w:t>
      </w:r>
    </w:p>
    <w:p>
      <w:pPr>
        <w:pStyle w:val="Heading2"/>
      </w:pPr>
      <w:r>
        <w:t>Rules for authors</w:t>
      </w:r>
    </w:p>
    <w:p>
      <w:pPr>
        <w:pStyle w:val="ListBullet"/>
      </w:pPr>
      <w:r>
        <w:t>Authors may use generative AI only for the activities allowed by this policy.</w:t>
      </w:r>
    </w:p>
    <w:p>
      <w:pPr>
        <w:pStyle w:val="ListBullet"/>
      </w:pPr>
      <w:r>
        <w:t>Authors must check the accuracy of every statement, reference, quotation, calculation, image and result in the submitted work.</w:t>
      </w:r>
    </w:p>
    <w:p>
      <w:pPr>
        <w:pStyle w:val="ListBullet"/>
      </w:pPr>
      <w:r>
        <w:t>Authors must disclose any use that produced or substantially changed text, code, analysis, data, images or other submitted content.</w:t>
      </w:r>
    </w:p>
    <w:p>
      <w:pPr>
        <w:pStyle w:val="ListBullet"/>
      </w:pPr>
      <w:r>
        <w:t>Authors must not list an AI tool as an author or use one to fabricate references, evidence, data, findings or images.</w:t>
      </w:r>
    </w:p>
    <w:p>
      <w:pPr>
        <w:pStyle w:val="ListBullet"/>
      </w:pPr>
      <w:r>
        <w:t>Authors must not place confidential, restricted or personal information in an outside AI service unless the conference or their institution has approved that exact use.</w:t>
      </w:r>
    </w:p>
    <w:p>
      <w:pPr>
        <w:pStyle w:val="Heading2"/>
      </w:pPr>
      <w:r>
        <w:t>Author disclosure</w:t>
      </w:r>
    </w:p>
    <w:p>
      <w:pPr>
        <w:pStyle w:val="PolicyClause"/>
      </w:pPr>
      <w:r>
        <w:t>I used [tool or service] for [purpose]. It affected [part of the submission]. I reviewed the output, checked the sources and accept responsibility for the submitted work. [If no disclosure is required: I did not use generative AI in a way that requires disclosure under this policy.]</w:t>
      </w:r>
    </w:p>
    <w:p>
      <w:pPr>
        <w:pStyle w:val="Heading2"/>
      </w:pPr>
      <w:r>
        <w:t>Rules for reviewers</w:t>
      </w:r>
    </w:p>
    <w:p>
      <w:pPr>
        <w:pStyle w:val="ListBullet"/>
      </w:pPr>
      <w:r>
        <w:t>Reviewers must not upload a submission, supporting file, review, score or committee discussion to a public or unapproved AI tool.</w:t>
      </w:r>
    </w:p>
    <w:p>
      <w:pPr>
        <w:pStyle w:val="ListBullet"/>
      </w:pPr>
      <w:r>
        <w:t>Reviewers must complete the evaluation themselves and must not ask an AI tool to decide the score, recommendation or acceptance outcome.</w:t>
      </w:r>
    </w:p>
    <w:p>
      <w:pPr>
        <w:pStyle w:val="ListBullet"/>
      </w:pPr>
      <w:r>
        <w:t>A reviewer may use a named tool for a limited task only when the conference has approved that use in writing and the task does not expose confidential material.</w:t>
      </w:r>
    </w:p>
    <w:p>
      <w:pPr>
        <w:pStyle w:val="ListBullet"/>
      </w:pPr>
      <w:r>
        <w:t>Reviewers must report any accidental disclosure or prohibited use promptly to [conference contact].</w:t>
      </w:r>
    </w:p>
    <w:p>
      <w:pPr>
        <w:pStyle w:val="Heading2"/>
      </w:pPr>
      <w:r>
        <w:t>Reviewer declaration</w:t>
      </w:r>
    </w:p>
    <w:p>
      <w:pPr>
        <w:pStyle w:val="PolicyClause"/>
      </w:pPr>
      <w:r>
        <w:t>I completed this review myself. I did not place the submission, my review or my score in a public or unapproved AI tool. If I used an approved tool, I used it only for [approved task] and followed the conference instructions.</w:t>
      </w:r>
    </w:p>
    <w:p>
      <w:pPr>
        <w:pStyle w:val="Heading2"/>
      </w:pPr>
      <w:r>
        <w:t>If the conference uses Dryfta Virtual Reviewers</w:t>
      </w:r>
    </w:p>
    <w:p>
      <w:pPr>
        <w:pStyle w:val="PolicyClause"/>
      </w:pPr>
      <w:r>
        <w:t>[Conference name] uses Dryfta Virtual Reviewers to provide an additional advisory review using the conference review form and scoring criteria. The program committee compares this advice with human reviews. A person or committee makes every acceptance, rejection and policy decision. Questions about this use may be sent to [contact].</w:t>
      </w:r>
    </w:p>
    <w:p>
      <w:pPr>
        <w:pStyle w:val="Heading2"/>
      </w:pPr>
      <w:r>
        <w:t>If a rule may have been broken</w:t>
      </w:r>
    </w:p>
    <w:p>
      <w:pPr>
        <w:pStyle w:val="PolicyClause"/>
      </w:pPr>
      <w:r>
        <w:t>The conference will check the relevant policy, disclosure and available records, then give the author or reviewer a reasonable opportunity to explain. Depending on the facts, the conference may request a corrected disclosure, replace or repeat a review, remove affected material, issue a warning, or reject or withdraw the submission under the conference's published rules. An AI detector result alone will not prove a breach.</w:t>
      </w:r>
    </w:p>
    <w:p>
      <w:pPr>
        <w:pStyle w:val="PolicyClause"/>
      </w:pPr>
      <w:r>
        <w:t>A request to reconsider the process or outcome may be sent to [contact] within [number] days. The request should identify a procedural error or material new information. Disagreement with academic judgement by itself is not enough.</w:t>
      </w:r>
    </w:p>
    <w:p>
      <w:pPr>
        <w:pStyle w:val="Heading1"/>
      </w:pPr>
      <w:r>
        <w:t>Set up the policy in Dryfta</w:t>
      </w:r>
    </w:p>
    <w:p>
      <w:r>
        <w:t>Dryfta lets you create separate submission forms, custom fields and review questions for different submission types. Use those controls to collect only the information the committee will actually review.</w:t>
      </w:r>
    </w:p>
    <w:p>
      <w:pPr>
        <w:pStyle w:val="Heading2"/>
      </w:pPr>
      <w:r>
        <w:t>Submission form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2880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7200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Suggested wording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Required confirmation</w:t>
            </w:r>
          </w:p>
        </w:tc>
        <w:tc>
          <w:tcPr>
            <w:tcW w:type="dxa" w:w="72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Have you used generative AI in a way that this conference requires you to disclose?  [ ] Yes  [ ] No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Tool and purpose</w:t>
            </w:r>
          </w:p>
        </w:tc>
        <w:tc>
          <w:tcPr>
            <w:tcW w:type="dxa" w:w="72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Name the tool and explain briefly what you used it for.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Content affected</w:t>
            </w:r>
          </w:p>
        </w:tc>
        <w:tc>
          <w:tcPr>
            <w:tcW w:type="dxa" w:w="72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Which part of the submission did the tool create or substantially change?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Author confirmation</w:t>
            </w:r>
          </w:p>
        </w:tc>
        <w:tc>
          <w:tcPr>
            <w:tcW w:type="dxa" w:w="72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I checked the output and accept responsibility for the accuracy, originality and permissions of this submission.  [ ] I agree</w:t>
            </w:r>
          </w:p>
        </w:tc>
      </w:tr>
    </w:tbl>
    <w:p>
      <w:pPr>
        <w:spacing w:after="20"/>
      </w:pPr>
    </w:p>
    <w:p>
      <w:pPr>
        <w:pStyle w:val="Heading2"/>
      </w:pPr>
      <w:r>
        <w:t>Review form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2880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7200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Suggested wording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Reviewer declaration</w:t>
            </w:r>
          </w:p>
        </w:tc>
        <w:tc>
          <w:tcPr>
            <w:tcW w:type="dxa" w:w="72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I followed the conference rule on generative AI and confidentiality.  [ ] I agree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Approved use disclosure</w:t>
            </w:r>
          </w:p>
        </w:tc>
        <w:tc>
          <w:tcPr>
            <w:tcW w:type="dxa" w:w="72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If you used an approved tool, name the tool and the limited task.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Concern about a disclosure</w:t>
            </w:r>
          </w:p>
        </w:tc>
        <w:tc>
          <w:tcPr>
            <w:tcW w:type="dxa" w:w="72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Do you need the chair to check an AI disclosure or possible policy issue?  [ ] Yes  [ ] No  Comments: [ ]</w:t>
            </w:r>
          </w:p>
        </w:tc>
      </w:tr>
    </w:tbl>
    <w:p>
      <w:pPr>
        <w:spacing w:after="20"/>
      </w:pPr>
    </w:p>
    <w:p>
      <w:pPr>
        <w:pStyle w:val="Heading2"/>
      </w:pPr>
      <w:r>
        <w:t>Review settings</w:t>
      </w:r>
    </w:p>
    <w:p>
      <w:pPr>
        <w:pStyle w:val="ListBullet"/>
      </w:pPr>
      <w:r>
        <w:t>Choose the single, double or triple blind setting that matches the published review model.</w:t>
      </w:r>
    </w:p>
    <w:p>
      <w:pPr>
        <w:pStyle w:val="ListBullet"/>
      </w:pPr>
      <w:r>
        <w:t>Keep author disclosure wording anonymous when reviewers should not know the author's identity.</w:t>
      </w:r>
    </w:p>
    <w:p>
      <w:pPr>
        <w:pStyle w:val="ListBullet"/>
      </w:pPr>
      <w:r>
        <w:t>Build the review form with the conference's real criteria and scoring scale.</w:t>
      </w:r>
    </w:p>
    <w:p>
      <w:pPr>
        <w:pStyle w:val="ListBullet"/>
      </w:pPr>
      <w:r>
        <w:t>Assign reviewers manually or use Dryfta's automated assignment settings, then check conflicts and workload before reviews begin.</w:t>
      </w:r>
    </w:p>
    <w:p>
      <w:pPr>
        <w:pStyle w:val="ListBullet"/>
      </w:pPr>
      <w:r>
        <w:t>Use automated notifications to send the policy, deadline and support contact to authors and reviewers.</w:t>
      </w:r>
    </w:p>
    <w:p>
      <w:pPr>
        <w:pStyle w:val="ListBullet"/>
      </w:pPr>
      <w:r>
        <w:t>If Virtual Reviewers are enabled, use the same review criteria where appropriate and compare their advisory scores with human reviews before a committee decision.</w:t>
      </w:r>
    </w:p>
    <w:p>
      <w:pPr>
        <w:pStyle w:val="Heading1"/>
      </w:pPr>
      <w:r>
        <w:t>Final checklist before submissions open</w:t>
      </w:r>
    </w:p>
    <w:p>
      <w:pPr>
        <w:pStyle w:val="ListBullet"/>
      </w:pPr>
      <w:r>
        <w:t>[ ] The allowed and prohibited uses are clear.</w:t>
      </w:r>
    </w:p>
    <w:p>
      <w:pPr>
        <w:pStyle w:val="ListBullet"/>
      </w:pPr>
      <w:r>
        <w:t>[ ] The author disclosure in Dryfta matches the published policy.</w:t>
      </w:r>
    </w:p>
    <w:p>
      <w:pPr>
        <w:pStyle w:val="ListBullet"/>
      </w:pPr>
      <w:r>
        <w:t>[ ] The reviewer declaration appears in the review form.</w:t>
      </w:r>
    </w:p>
    <w:p>
      <w:pPr>
        <w:pStyle w:val="ListBullet"/>
      </w:pPr>
      <w:r>
        <w:t>[ ] Blind review settings and disclosure wording do not reveal author identity.</w:t>
      </w:r>
    </w:p>
    <w:p>
      <w:pPr>
        <w:pStyle w:val="ListBullet"/>
      </w:pPr>
      <w:r>
        <w:t>[ ] Review questions and scoring criteria have been tested with a sample submission.</w:t>
      </w:r>
    </w:p>
    <w:p>
      <w:pPr>
        <w:pStyle w:val="ListBullet"/>
      </w:pPr>
      <w:r>
        <w:t>[ ] Reviewer assignments, limits and deadlines have been checked.</w:t>
      </w:r>
    </w:p>
    <w:p>
      <w:pPr>
        <w:pStyle w:val="ListBullet"/>
      </w:pPr>
      <w:r>
        <w:t>[ ] Participants have been told whether Dryfta Virtual Reviewers will be used.</w:t>
      </w:r>
    </w:p>
    <w:p>
      <w:pPr>
        <w:pStyle w:val="ListBullet"/>
      </w:pPr>
      <w:r>
        <w:t>[ ] A human committee remains responsible for final decisions.</w:t>
      </w:r>
    </w:p>
    <w:p>
      <w:pPr>
        <w:pStyle w:val="ListBullet"/>
      </w:pPr>
      <w:r>
        <w:t>[ ] The contact for questions, reports and reconsideration requests is published.</w:t>
      </w:r>
    </w:p>
    <w:p>
      <w:pPr>
        <w:pStyle w:val="ListBullet"/>
      </w:pPr>
      <w:r>
        <w:t>[ ] The same dated policy version appears in the call for papers, submission instructions and reviewer guidance.</w:t>
      </w:r>
    </w:p>
    <w:p>
      <w:pPr>
        <w:pStyle w:val="Heading2"/>
      </w:pPr>
      <w:r>
        <w:t>Policy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2952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7128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Conference</w:t>
            </w:r>
          </w:p>
        </w:tc>
        <w:tc>
          <w:tcPr>
            <w:tcW w:type="dxa" w:w="71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[Name and year]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Policy owner</w:t>
            </w:r>
          </w:p>
        </w:tc>
        <w:tc>
          <w:tcPr>
            <w:tcW w:type="dxa" w:w="71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[Role or committee]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Version and effective date</w:t>
            </w:r>
          </w:p>
        </w:tc>
        <w:tc>
          <w:tcPr>
            <w:tcW w:type="dxa" w:w="71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[Version]  [Date]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Questions and reports</w:t>
            </w:r>
          </w:p>
        </w:tc>
        <w:tc>
          <w:tcPr>
            <w:tcW w:type="dxa" w:w="71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[Email or form]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Reconsideration requests</w:t>
            </w:r>
          </w:p>
        </w:tc>
        <w:tc>
          <w:tcPr>
            <w:tcW w:type="dxa" w:w="71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[Email or form and deadline]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Next review date</w:t>
            </w:r>
          </w:p>
        </w:tc>
        <w:tc>
          <w:tcPr>
            <w:tcW w:type="dxa" w:w="71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5FA"/>
          </w:tcPr>
          <w:p>
            <w:pPr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  <w:r>
              <w:rPr>
                <w:rFonts w:ascii="Arial" w:hAnsi="Arial"/>
                <w:color w:val="000000"/>
                <w:sz w:val="17"/>
              </w:rPr>
              <w:t>[Date]</w:t>
            </w:r>
          </w:p>
        </w:tc>
      </w:tr>
    </w:tbl>
    <w:p>
      <w:pPr>
        <w:spacing w:after="20"/>
      </w:pPr>
    </w:p>
    <w:p>
      <w:pPr>
        <w:pStyle w:val="Heading1"/>
      </w:pPr>
      <w:r>
        <w:t>Sources to check before adoption</w:t>
      </w:r>
    </w:p>
    <w:p>
      <w:r>
        <w:t>These pages informed the template and were last checked on 19 October 2026. Product settings and external policies can change, so confirm the requirements that apply to your event.</w:t>
      </w:r>
    </w:p>
    <w:p>
      <w:pPr>
        <w:pStyle w:val="ListBullet"/>
      </w:pPr>
      <w:hyperlink r:id="rId11">
        <w:r>
          <w:rPr>
            <w:color w:val="17365D"/>
            <w:u w:val="single"/>
          </w:rPr>
          <w:t>Dryfta abstract management software</w:t>
        </w:r>
      </w:hyperlink>
    </w:p>
    <w:p>
      <w:pPr>
        <w:pStyle w:val="ListBullet"/>
      </w:pPr>
      <w:hyperlink r:id="rId12">
        <w:r>
          <w:rPr>
            <w:color w:val="17365D"/>
            <w:u w:val="single"/>
          </w:rPr>
          <w:t>Dryfta single, double and triple blind review settings</w:t>
        </w:r>
      </w:hyperlink>
    </w:p>
    <w:p>
      <w:pPr>
        <w:pStyle w:val="ListBullet"/>
      </w:pPr>
      <w:hyperlink r:id="rId13">
        <w:r>
          <w:rPr>
            <w:color w:val="17365D"/>
            <w:u w:val="single"/>
          </w:rPr>
          <w:t>Dryfta Virtual Reviewers</w:t>
        </w:r>
      </w:hyperlink>
    </w:p>
    <w:p>
      <w:pPr>
        <w:pStyle w:val="ListBullet"/>
      </w:pPr>
      <w:hyperlink r:id="rId14">
        <w:r>
          <w:rPr>
            <w:color w:val="17365D"/>
            <w:u w:val="single"/>
          </w:rPr>
          <w:t>ICMJE use of artificial intelligence in publishing</w:t>
        </w:r>
      </w:hyperlink>
    </w:p>
    <w:p>
      <w:pPr>
        <w:pStyle w:val="ListBullet"/>
      </w:pPr>
      <w:hyperlink r:id="rId15">
        <w:r>
          <w:rPr>
            <w:color w:val="17365D"/>
            <w:u w:val="single"/>
          </w:rPr>
          <w:t>IEEE submission and peer-review policies</w:t>
        </w:r>
      </w:hyperlink>
    </w:p>
    <w:p>
      <w:pPr>
        <w:pStyle w:val="ListBullet"/>
      </w:pPr>
      <w:hyperlink r:id="rId16">
        <w:r>
          <w:rPr>
            <w:color w:val="17365D"/>
            <w:u w:val="single"/>
          </w:rPr>
          <w:t>NIH generative AI peer-review notice</w:t>
        </w:r>
      </w:hyperlink>
    </w:p>
    <w:sectPr w:rsidR="00FC693F" w:rsidRPr="0006063C" w:rsidSect="00034616">
      <w:footerReference w:type="default" r:id="rId9"/>
      <w:pgSz w:w="12240" w:h="15840"/>
      <w:pgMar w:top="1267" w:right="1080" w:bottom="893" w:left="1080" w:header="288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040"/>
      <w:gridCol w:w="5040"/>
    </w:tblGrid>
    <w:tr>
      <w:trPr>
        <w:tblHeader w:val="true"/>
      </w:trPr>
      <w:tc>
        <w:tcPr>
          <w:tcW w:type="dxa" w:w="8352"/>
        </w:tcPr>
        <w:p>
          <w:r>
            <w:rPr>
              <w:rFonts w:ascii="Arial" w:hAnsi="Arial"/>
              <w:color w:val="666666"/>
              <w:sz w:val="16"/>
            </w:rPr>
            <w:t>Dryfta  |  dryfta.com  |  Conference Generative AI Policy Template</w:t>
          </w:r>
        </w:p>
      </w:tc>
      <w:tc>
        <w:tcPr>
          <w:tcW w:type="dxa" w:w="1728"/>
        </w:tcPr>
        <w:p>
          <w:pPr>
            <w:jc w:val="right"/>
          </w:pPr>
          <w:r>
            <w:rPr>
              <w:rFonts w:ascii="Arial" w:hAnsi="Arial"/>
              <w:color w:val="666666"/>
              <w:sz w:val="17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olicyClause">
    <w:name w:val="Policy Clause"/>
    <w:basedOn w:val="Normal"/>
    <w:pPr>
      <w:spacing w:before="60" w:after="140"/>
      <w:ind w:left="317" w:right="173"/>
    </w:pPr>
    <w:rPr>
      <w:rFonts w:ascii="Arial" w:hAnsi="Arial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dryfta.com/event-management-software/abstract-management-software/" TargetMode="External"/><Relationship Id="rId12" Type="http://schemas.openxmlformats.org/officeDocument/2006/relationships/hyperlink" Target="https://dryfta.com/single-double-triple-blind-review/" TargetMode="External"/><Relationship Id="rId13" Type="http://schemas.openxmlformats.org/officeDocument/2006/relationships/hyperlink" Target="https://dryfta.com/ai-reviewers-for-faster-and-smarter-abstract-review/" TargetMode="External"/><Relationship Id="rId14" Type="http://schemas.openxmlformats.org/officeDocument/2006/relationships/hyperlink" Target="https://icmje.org/recommendations/browse/artificial-intelligence/" TargetMode="External"/><Relationship Id="rId15" Type="http://schemas.openxmlformats.org/officeDocument/2006/relationships/hyperlink" Target="https://journals.ieeeauthorcenter.ieee.org/become-an-ieee-journal-author/publishing-ethics/guidelines-and-policies/submission-and-peer-review-policies/" TargetMode="External"/><Relationship Id="rId16" Type="http://schemas.openxmlformats.org/officeDocument/2006/relationships/hyperlink" Target="https://www.grants.nih.gov/grants/guide/notice-files/NOT-OD-23-1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Generative AI Policy Template</dc:title>
  <dc:subject>Editable policy clauses for conference submissions and peer review</dc:subject>
  <dc:creator>Dryfta</dc:creator>
  <cp:keywords>conference AI policy, submissions, peer review, disclosure, confidentiality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